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EXAM REVIEW 2917 Cont’d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Solubility and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K</w:t>
      </w:r>
      <w:r w:rsidRPr="00CF24A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sp</w:t>
      </w:r>
      <w:proofErr w:type="spellEnd"/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lang w:val="en-US"/>
        </w:rPr>
        <w:t>Modified True/False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Indicate whether the sentence or statement is true or false.  If false, change the identified word or phrase to make the sentence or statement true.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A precipitate forms when the ion product for the precipitate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 xml:space="preserve">exceeds the </w:t>
      </w:r>
      <w:proofErr w:type="spellStart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2.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When a solution of silver nitrate is mixed with a solution of potassium iodide a precipitate of lead iodide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 xml:space="preserve">never forms </w:t>
      </w:r>
      <w:r w:rsidRPr="00CF24A0">
        <w:rPr>
          <w:rFonts w:ascii="Times New Roman" w:hAnsi="Times New Roman" w:cs="Times New Roman"/>
          <w:color w:val="000000"/>
          <w:lang w:val="en-US"/>
        </w:rPr>
        <w:t>when [I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1-</w:t>
      </w:r>
      <w:r w:rsidRPr="00CF24A0">
        <w:rPr>
          <w:rFonts w:ascii="Times New Roman" w:hAnsi="Times New Roman" w:cs="Times New Roman"/>
          <w:color w:val="000000"/>
          <w:lang w:val="en-US"/>
        </w:rPr>
        <w:t>][Ag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1+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] exceeds 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3.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A solution of </w:t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lead(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 xml:space="preserve">II) nitrate is mixed with a solution of sodium iodide and a precipitate forms. The precipitate is </w:t>
      </w:r>
      <w:proofErr w:type="gramStart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lead(</w:t>
      </w:r>
      <w:proofErr w:type="gramEnd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II) iodide</w:t>
      </w:r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4.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When a precipitate forms at the bottom of a container after 2 unsaturated solutions are mixed, the solid precipitate is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always in equilibrium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with its liberated ions in solution.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5.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values are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temperature dependent</w:t>
      </w:r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6.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More potassium bromide can dissolve in distilled water than in a solution of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potassium chloride</w:t>
      </w:r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equilibrium expression for </w:t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lead(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 xml:space="preserve">II) chloride is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Pb</w:t>
      </w:r>
      <w:r w:rsidRPr="00CF24A0"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2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Cl(s) &lt;====&gt; 2Pb</w:t>
      </w:r>
      <w:r w:rsidRPr="00CF24A0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2+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(aq) + Cl</w:t>
      </w:r>
      <w:r w:rsidRPr="00CF24A0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1-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(aq).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8.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When 25 mL of 0.24 mol/L CaCl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is mixed with 45 mL of 1.5 mol/L AgNO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a precipitate of AgCl forms since the </w:t>
      </w:r>
      <w:proofErr w:type="spellStart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 xml:space="preserve"> of AgCl is 1.8 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 xml:space="preserve"> 10</w:t>
      </w:r>
      <w:r w:rsidRPr="00CF24A0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-10</w:t>
      </w:r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9.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Ksp's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of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CuCl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and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TlCl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are 1.9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color w:val="000000"/>
          <w:lang w:val="en-US"/>
        </w:rPr>
        <w:t>10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-7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and 1.8 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10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-4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respectively. This means </w:t>
      </w:r>
      <w:proofErr w:type="spellStart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TlCl</w:t>
      </w:r>
      <w:proofErr w:type="spellEnd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 xml:space="preserve"> is more soluble than </w:t>
      </w:r>
      <w:proofErr w:type="spellStart"/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CuCl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>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10.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expression for </w:t>
      </w: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magnesium phosphate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is</w:t>
      </w:r>
    </w:p>
    <w:p w:rsidR="00CF24A0" w:rsidRPr="00CF24A0" w:rsidRDefault="00CF24A0" w:rsidP="00CF24A0">
      <w:pPr>
        <w:keepLines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Mg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CF24A0">
        <w:rPr>
          <w:rFonts w:ascii="Times New Roman" w:hAnsi="Times New Roman" w:cs="Times New Roman"/>
          <w:color w:val="000000"/>
          <w:lang w:val="en-US"/>
        </w:rPr>
        <w:t>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PO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CF24A0">
        <w:rPr>
          <w:rFonts w:ascii="Times New Roman" w:hAnsi="Times New Roman" w:cs="Times New Roman"/>
          <w:color w:val="000000"/>
          <w:lang w:val="en-US"/>
        </w:rPr>
        <w:t>)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CF24A0">
        <w:rPr>
          <w:rFonts w:ascii="Times New Roman" w:hAnsi="Times New Roman" w:cs="Times New Roman"/>
          <w:color w:val="000000"/>
          <w:lang w:val="en-US"/>
        </w:rPr>
        <w:t>(s) &lt;====&gt; 3 Mg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2+</w:t>
      </w:r>
      <w:r w:rsidRPr="00CF24A0">
        <w:rPr>
          <w:rFonts w:ascii="Times New Roman" w:hAnsi="Times New Roman" w:cs="Times New Roman"/>
          <w:color w:val="000000"/>
          <w:lang w:val="en-US"/>
        </w:rPr>
        <w:t>(aq) + 2 PO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3-</w:t>
      </w:r>
      <w:r w:rsidRPr="00CF24A0">
        <w:rPr>
          <w:rFonts w:ascii="Times New Roman" w:hAnsi="Times New Roman" w:cs="Times New Roman"/>
          <w:color w:val="000000"/>
          <w:lang w:val="en-US"/>
        </w:rPr>
        <w:t>(aq). _________________________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lang w:val="en-US"/>
        </w:rPr>
        <w:t>Multiple Choice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Identify the letter of the choice that best completes the statement or answers the question.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11.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When solid lead(II) phosphate is in equilibrium with its ions, the ratio of lead(II) ions to phosphate ions is which of the following?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1:1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2:3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1:2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3:2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2:1</w:t>
            </w:r>
          </w:p>
        </w:tc>
      </w:tr>
    </w:tbl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12.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When solid aluminum hydroxide is in equilibrium with its ions, the ratio of aluminum ion to hydroxide ion is which of the following?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1:1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1:3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2:1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3:1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1:2</w:t>
            </w:r>
          </w:p>
        </w:tc>
      </w:tr>
    </w:tbl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13.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In a saturated solution of silver phosphate, the concentration of silver ion is 4.5 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10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-4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mol/L. 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of silver phosphate would be which of the following?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6.8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1.0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-11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1.4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none of the above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1.5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-15</w:t>
            </w:r>
          </w:p>
        </w:tc>
      </w:tr>
    </w:tbl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lastRenderedPageBreak/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14.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In a saturated solution of </w:t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lead(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 xml:space="preserve">II) chloride, the concentration of chloride ion is 6.2 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10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-4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mol/L. 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of </w:t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lead(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II) chloride would be which of the following?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1.9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2.3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-17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6.0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none of the above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1.2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-10</w:t>
            </w:r>
          </w:p>
        </w:tc>
      </w:tr>
    </w:tbl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15.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In a saturated solution of silver sulfite, the concentration of silver ion is 3.6 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10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-4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mol/L. The </w:t>
      </w:r>
      <w:proofErr w:type="spellStart"/>
      <w:r w:rsidRPr="00CF24A0">
        <w:rPr>
          <w:rFonts w:ascii="Times New Roman" w:hAnsi="Times New Roman" w:cs="Times New Roman"/>
          <w:color w:val="000000"/>
          <w:lang w:val="en-US"/>
        </w:rPr>
        <w:t>Ksp</w:t>
      </w:r>
      <w:proofErr w:type="spellEnd"/>
      <w:r w:rsidRPr="00CF24A0">
        <w:rPr>
          <w:rFonts w:ascii="Times New Roman" w:hAnsi="Times New Roman" w:cs="Times New Roman"/>
          <w:color w:val="000000"/>
          <w:lang w:val="en-US"/>
        </w:rPr>
        <w:t xml:space="preserve"> of silver sulfite would be which of the following?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6.5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7.6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-19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2.3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none of the above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1.2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-11</w:t>
            </w:r>
          </w:p>
        </w:tc>
      </w:tr>
    </w:tbl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____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16.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In a saturated solution of </w:t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Al(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OH)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the concentration of OH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1-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is 2.6 </w:t>
      </w:r>
      <w:r w:rsidRPr="00CF24A0">
        <w:rPr>
          <w:rFonts w:ascii="Symbol" w:hAnsi="Symbol" w:cs="Symbol"/>
          <w:color w:val="000000"/>
          <w:lang w:val="en-US"/>
        </w:rPr>
        <w:t>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10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-5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mol/L. The concentration of Al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3+</w:t>
      </w:r>
      <w:r w:rsidRPr="00CF24A0">
        <w:rPr>
          <w:rFonts w:ascii="Times New Roman" w:hAnsi="Times New Roman" w:cs="Times New Roman"/>
          <w:color w:val="000000"/>
          <w:lang w:val="en-US"/>
        </w:rPr>
        <w:t xml:space="preserve"> in mol/L is which of the following?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2.6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7.8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-5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5.2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8.7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-4</w:t>
            </w:r>
          </w:p>
        </w:tc>
      </w:tr>
      <w:tr w:rsidR="00CF24A0" w:rsidRPr="00CF24A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F24A0" w:rsidRPr="00CF24A0" w:rsidRDefault="00CF24A0" w:rsidP="00CF24A0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7.8 </w:t>
            </w:r>
            <w:r w:rsidRPr="00CF24A0">
              <w:rPr>
                <w:rFonts w:ascii="Symbol" w:hAnsi="Symbol" w:cs="Symbol"/>
                <w:color w:val="000000"/>
                <w:lang w:val="en-US"/>
              </w:rPr>
              <w:t></w:t>
            </w:r>
            <w:r w:rsidRPr="00CF24A0">
              <w:rPr>
                <w:rFonts w:ascii="Times New Roman" w:hAnsi="Times New Roman" w:cs="Times New Roman"/>
                <w:color w:val="000000"/>
                <w:lang w:val="en-US"/>
              </w:rPr>
              <w:t xml:space="preserve"> 10</w:t>
            </w:r>
            <w:r w:rsidRPr="00CF24A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-15</w:t>
            </w:r>
          </w:p>
        </w:tc>
      </w:tr>
    </w:tbl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lang w:val="en-US"/>
        </w:rPr>
        <w:t>Completion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i/>
          <w:iCs/>
          <w:color w:val="000000"/>
          <w:lang w:val="en-US"/>
        </w:rPr>
        <w:t>Complete each sentence or statement.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17.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If solutions of barium chloride and sodium sulfate were mixed and a precipitate formed, the precipitate would be _________________________.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18.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If solutions of calcium fluoride and potassium carbonate were mixed and a precipitate formed, the precipitate would be ______________________________.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19.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If solutions of barium chloride and sodium sulfate were mixed and a precipitate formed, the equilibrium equation for the precipitate would be _____________________________________________.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20.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 xml:space="preserve">If solutions of </w:t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iron(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II) chloride and potassium phosphate were mixed and a precipitate formed, the equilibrium equation for the precipitate would be _____________________________________________.</w:t>
      </w:r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br w:type="page"/>
      </w:r>
      <w:proofErr w:type="spellStart"/>
      <w:proofErr w:type="gramStart"/>
      <w:r w:rsidRPr="00CF24A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lastRenderedPageBreak/>
        <w:t>ksp</w:t>
      </w:r>
      <w:proofErr w:type="spellEnd"/>
      <w:proofErr w:type="gramEnd"/>
    </w:p>
    <w:p w:rsidR="00CF24A0" w:rsidRPr="00CF24A0" w:rsidRDefault="00CF24A0" w:rsidP="00CF24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Answer Section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lang w:val="en-US"/>
        </w:rPr>
        <w:t>MODIFIED TRUE/FALSE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CS2.05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2.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F, only forms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CS2.05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3.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CS2.05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4.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7.1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CS2.01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5.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CS2.01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6.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CS2.05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7.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F</w:t>
      </w:r>
    </w:p>
    <w:p w:rsidR="00CF24A0" w:rsidRPr="00CF24A0" w:rsidRDefault="00CF24A0" w:rsidP="00CF24A0">
      <w:pPr>
        <w:keepLines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PbCl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CF24A0">
        <w:rPr>
          <w:rFonts w:ascii="Times New Roman" w:hAnsi="Times New Roman" w:cs="Times New Roman"/>
          <w:color w:val="000000"/>
          <w:lang w:val="en-US"/>
        </w:rPr>
        <w:t>(s) &lt;====&gt; Pb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2</w:t>
      </w:r>
      <w:proofErr w:type="gramStart"/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+</w:t>
      </w:r>
      <w:r w:rsidRPr="00CF24A0">
        <w:rPr>
          <w:rFonts w:ascii="Times New Roman" w:hAnsi="Times New Roman" w:cs="Times New Roman"/>
          <w:color w:val="000000"/>
          <w:lang w:val="en-US"/>
        </w:rPr>
        <w:t>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aq) + 2Cl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1-</w:t>
      </w:r>
      <w:r w:rsidRPr="00CF24A0">
        <w:rPr>
          <w:rFonts w:ascii="Times New Roman" w:hAnsi="Times New Roman" w:cs="Times New Roman"/>
          <w:color w:val="000000"/>
          <w:lang w:val="en-US"/>
        </w:rPr>
        <w:t>(aq)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8.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CS2.05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9.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7.1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CS1.01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10.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T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CS1.01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lang w:val="en-US"/>
        </w:rPr>
        <w:t>MULTIPLE CHOICE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11.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E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7.1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12.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D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7.1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13.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B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14.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15.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B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16.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E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I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CS2.06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b/>
          <w:bCs/>
          <w:color w:val="000000"/>
          <w:lang w:val="en-US"/>
        </w:rPr>
        <w:t>COMPLETION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17.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barium sulfate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18.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calcium carbonate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r w:rsidRPr="00CF24A0">
        <w:rPr>
          <w:rFonts w:ascii="Times New Roman" w:hAnsi="Times New Roman" w:cs="Times New Roman"/>
          <w:color w:val="000000"/>
          <w:lang w:val="en-US"/>
        </w:rPr>
        <w:tab/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19.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BaSO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CF24A0">
        <w:rPr>
          <w:rFonts w:ascii="Times New Roman" w:hAnsi="Times New Roman" w:cs="Times New Roman"/>
          <w:color w:val="000000"/>
          <w:lang w:val="en-US"/>
        </w:rPr>
        <w:t>(s) &lt;====&gt; Ba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2</w:t>
      </w:r>
      <w:proofErr w:type="gramStart"/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+</w:t>
      </w:r>
      <w:r w:rsidRPr="00CF24A0">
        <w:rPr>
          <w:rFonts w:ascii="Times New Roman" w:hAnsi="Times New Roman" w:cs="Times New Roman"/>
          <w:color w:val="000000"/>
          <w:lang w:val="en-US"/>
        </w:rPr>
        <w:t>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aq) + SO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2-</w:t>
      </w:r>
      <w:r w:rsidRPr="00CF24A0">
        <w:rPr>
          <w:rFonts w:ascii="Times New Roman" w:hAnsi="Times New Roman" w:cs="Times New Roman"/>
          <w:color w:val="000000"/>
          <w:lang w:val="en-US"/>
        </w:rPr>
        <w:t>(aq)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CF24A0" w:rsidRPr="00CF24A0" w:rsidRDefault="00CF24A0" w:rsidP="00CF24A0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CS1.06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</w:p>
    <w:p w:rsidR="00CF24A0" w:rsidRPr="00CF24A0" w:rsidRDefault="00CF24A0" w:rsidP="00CF24A0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CF24A0">
        <w:rPr>
          <w:rFonts w:ascii="Times New Roman" w:hAnsi="Times New Roman" w:cs="Times New Roman"/>
          <w:color w:val="000000"/>
          <w:lang w:val="en-US"/>
        </w:rPr>
        <w:tab/>
        <w:t>20.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ANS:</w:t>
      </w:r>
      <w:r w:rsidRPr="00CF24A0"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 w:rsidRPr="00CF24A0">
        <w:rPr>
          <w:rFonts w:ascii="Times New Roman" w:hAnsi="Times New Roman" w:cs="Times New Roman"/>
          <w:color w:val="000000"/>
          <w:lang w:val="en-US"/>
        </w:rPr>
        <w:t>Fe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CF24A0">
        <w:rPr>
          <w:rFonts w:ascii="Times New Roman" w:hAnsi="Times New Roman" w:cs="Times New Roman"/>
          <w:color w:val="000000"/>
          <w:lang w:val="en-US"/>
        </w:rPr>
        <w:t>(</w:t>
      </w:r>
      <w:proofErr w:type="gramEnd"/>
      <w:r w:rsidRPr="00CF24A0">
        <w:rPr>
          <w:rFonts w:ascii="Times New Roman" w:hAnsi="Times New Roman" w:cs="Times New Roman"/>
          <w:color w:val="000000"/>
          <w:lang w:val="en-US"/>
        </w:rPr>
        <w:t>PO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CF24A0">
        <w:rPr>
          <w:rFonts w:ascii="Times New Roman" w:hAnsi="Times New Roman" w:cs="Times New Roman"/>
          <w:color w:val="000000"/>
          <w:lang w:val="en-US"/>
        </w:rPr>
        <w:t>)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CF24A0">
        <w:rPr>
          <w:rFonts w:ascii="Times New Roman" w:hAnsi="Times New Roman" w:cs="Times New Roman"/>
          <w:color w:val="000000"/>
          <w:lang w:val="en-US"/>
        </w:rPr>
        <w:t>(s) &lt;=====&gt; 3 Fe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2+</w:t>
      </w:r>
      <w:r w:rsidRPr="00CF24A0">
        <w:rPr>
          <w:rFonts w:ascii="Times New Roman" w:hAnsi="Times New Roman" w:cs="Times New Roman"/>
          <w:color w:val="000000"/>
          <w:lang w:val="en-US"/>
        </w:rPr>
        <w:t>(aq) + 2 PO</w:t>
      </w:r>
      <w:r w:rsidRPr="00CF24A0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CF24A0">
        <w:rPr>
          <w:rFonts w:ascii="Times New Roman" w:hAnsi="Times New Roman" w:cs="Times New Roman"/>
          <w:color w:val="000000"/>
          <w:vertAlign w:val="superscript"/>
          <w:lang w:val="en-US"/>
        </w:rPr>
        <w:t>3-</w:t>
      </w:r>
      <w:r w:rsidRPr="00CF24A0">
        <w:rPr>
          <w:rFonts w:ascii="Times New Roman" w:hAnsi="Times New Roman" w:cs="Times New Roman"/>
          <w:color w:val="000000"/>
          <w:lang w:val="en-US"/>
        </w:rPr>
        <w:t>(aq)</w:t>
      </w:r>
    </w:p>
    <w:p w:rsidR="00CF24A0" w:rsidRPr="00CF24A0" w:rsidRDefault="00CF24A0" w:rsidP="00CF24A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024048" w:rsidRDefault="00CF24A0" w:rsidP="00E301E7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</w:pPr>
      <w:r w:rsidRPr="00CF24A0">
        <w:rPr>
          <w:rFonts w:ascii="Times New Roman" w:hAnsi="Times New Roman" w:cs="Times New Roman"/>
          <w:color w:val="000000"/>
          <w:lang w:val="en-US"/>
        </w:rPr>
        <w:t>REF: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K/U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OBJ: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7.6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LOC:</w:t>
      </w:r>
      <w:r w:rsidRPr="00CF24A0">
        <w:rPr>
          <w:rFonts w:ascii="Times New Roman" w:hAnsi="Times New Roman" w:cs="Times New Roman"/>
          <w:color w:val="000000"/>
          <w:lang w:val="en-US"/>
        </w:rPr>
        <w:tab/>
        <w:t>CS1.06</w:t>
      </w:r>
      <w:bookmarkStart w:id="0" w:name="_GoBack"/>
      <w:bookmarkEnd w:id="0"/>
    </w:p>
    <w:sectPr w:rsidR="00024048" w:rsidSect="00CF24A0">
      <w:pgSz w:w="12240" w:h="15840"/>
      <w:pgMar w:top="851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A0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81B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24A0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FD8"/>
    <w:rsid w:val="00D16877"/>
    <w:rsid w:val="00D16E1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1E7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BD08F-1113-465A-8E7E-40A4C41B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</cp:revision>
  <dcterms:created xsi:type="dcterms:W3CDTF">2017-01-02T21:17:00Z</dcterms:created>
  <dcterms:modified xsi:type="dcterms:W3CDTF">2017-01-02T21:54:00Z</dcterms:modified>
</cp:coreProperties>
</file>